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62823" w14:textId="77777777" w:rsidR="006C0694" w:rsidRDefault="006C0694" w:rsidP="00C00401"/>
    <w:p w14:paraId="753C2ECF" w14:textId="531166D4" w:rsidR="00A3692D" w:rsidRDefault="000F5D63" w:rsidP="00CF1D0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Každý pátý dům je chata a téměř polovina obyvatel Česka tam tráví dovolenou. Nejoblíbenější je okolí Sázavy </w:t>
      </w:r>
    </w:p>
    <w:p w14:paraId="1679EBC7" w14:textId="3F45B455" w:rsidR="00B609D8" w:rsidRDefault="00B609D8" w:rsidP="00CF1D0C">
      <w:pPr>
        <w:rPr>
          <w:b/>
          <w:bCs/>
        </w:rPr>
      </w:pPr>
      <w:r w:rsidRPr="00B609D8">
        <w:rPr>
          <w:b/>
          <w:bCs/>
        </w:rPr>
        <w:t>Češi jsou národem chatařů a chalupářů. V České republice se nachází kolem 430 000 rekreačních objektů, včetně domků v zahradních koloniích. Odborníci tvrdí, že</w:t>
      </w:r>
      <w:r w:rsidR="00F12B29">
        <w:rPr>
          <w:b/>
          <w:bCs/>
        </w:rPr>
        <w:t> </w:t>
      </w:r>
      <w:r w:rsidRPr="00B609D8">
        <w:rPr>
          <w:b/>
          <w:bCs/>
        </w:rPr>
        <w:t xml:space="preserve">zhruba každý </w:t>
      </w:r>
      <w:r w:rsidR="000F5D63">
        <w:rPr>
          <w:b/>
          <w:bCs/>
        </w:rPr>
        <w:t>pátý</w:t>
      </w:r>
      <w:r w:rsidRPr="00B609D8">
        <w:rPr>
          <w:b/>
          <w:bCs/>
        </w:rPr>
        <w:t xml:space="preserve"> český dům je určený k rekreaci, což svědčí o oblíbenosti chalupaření. Skoro 40 % obyvatel České republiky nejraději tráví dovolenou na</w:t>
      </w:r>
      <w:r w:rsidR="00F12B29">
        <w:rPr>
          <w:b/>
          <w:bCs/>
        </w:rPr>
        <w:t> </w:t>
      </w:r>
      <w:r w:rsidRPr="00B609D8">
        <w:rPr>
          <w:b/>
          <w:bCs/>
        </w:rPr>
        <w:t>chalupě a nemají potřebu vyrazit n</w:t>
      </w:r>
      <w:r w:rsidR="00D42865">
        <w:rPr>
          <w:b/>
          <w:bCs/>
        </w:rPr>
        <w:t>i</w:t>
      </w:r>
      <w:r w:rsidRPr="00B609D8">
        <w:rPr>
          <w:b/>
          <w:bCs/>
        </w:rPr>
        <w:t>kam do zahraničí. Češi si své víkendové obydlí kupují v dojezdové vzdálenosti, až 42 % z nich se nachází do 20 km od stálého obydlí, a pouhých 10 % chalupářů dojíždí více než 100 km.</w:t>
      </w:r>
      <w:r w:rsidR="00804BB6">
        <w:rPr>
          <w:rStyle w:val="Znakapoznpodarou"/>
          <w:b/>
          <w:bCs/>
        </w:rPr>
        <w:footnoteReference w:id="1"/>
      </w:r>
    </w:p>
    <w:p w14:paraId="69BE2AE8" w14:textId="546437A2" w:rsidR="00B609D8" w:rsidRDefault="00B609D8" w:rsidP="00B609D8">
      <w:r>
        <w:t>Nejoblíbenějšími místy pro chataření jsou s</w:t>
      </w:r>
      <w:r w:rsidR="00694522">
        <w:t>tř</w:t>
      </w:r>
      <w:r>
        <w:t>ední Čechy, zejména okolí řeky Sázavy, kde rádi tráví své víkendy Pražané. Druhým oblíbeným místem jsou blízké Krkonoše, a na</w:t>
      </w:r>
      <w:r w:rsidR="00F12B29">
        <w:t> </w:t>
      </w:r>
      <w:r>
        <w:t xml:space="preserve">třetím místě se umístily Krušné hory, následované malebnými jižními Čechami a původně vylidněnými pohraničními oblastmi </w:t>
      </w:r>
      <w:r w:rsidR="006B0EF0">
        <w:t xml:space="preserve">poblíž </w:t>
      </w:r>
      <w:r>
        <w:t>Německa a Rakouska.</w:t>
      </w:r>
    </w:p>
    <w:p w14:paraId="4F3C8A42" w14:textId="3A7BEE91" w:rsidR="00B609D8" w:rsidRPr="004924B0" w:rsidRDefault="004924B0" w:rsidP="00B609D8">
      <w:pPr>
        <w:rPr>
          <w:i/>
          <w:iCs/>
        </w:rPr>
      </w:pPr>
      <w:r>
        <w:rPr>
          <w:i/>
          <w:iCs/>
        </w:rPr>
        <w:t>„</w:t>
      </w:r>
      <w:r w:rsidR="00605457" w:rsidRPr="004924B0">
        <w:rPr>
          <w:i/>
          <w:iCs/>
        </w:rPr>
        <w:t>V</w:t>
      </w:r>
      <w:r w:rsidR="00B609D8" w:rsidRPr="004924B0">
        <w:rPr>
          <w:i/>
          <w:iCs/>
        </w:rPr>
        <w:t xml:space="preserve"> posledních letech došlo k</w:t>
      </w:r>
      <w:r w:rsidR="006A3B3C" w:rsidRPr="004924B0">
        <w:rPr>
          <w:i/>
          <w:iCs/>
        </w:rPr>
        <w:t>e zvýšení poptávky</w:t>
      </w:r>
      <w:r w:rsidR="00B609D8" w:rsidRPr="004924B0">
        <w:rPr>
          <w:i/>
          <w:iCs/>
        </w:rPr>
        <w:t xml:space="preserve"> po chatách a chalupách. Tento "boom" byl odstartován pandemií covidu a novými pracovními trendy, jako je práce na </w:t>
      </w:r>
      <w:r w:rsidR="00605457" w:rsidRPr="004924B0">
        <w:rPr>
          <w:i/>
          <w:iCs/>
        </w:rPr>
        <w:t>dálku</w:t>
      </w:r>
      <w:r w:rsidR="00B609D8" w:rsidRPr="004924B0">
        <w:rPr>
          <w:i/>
          <w:iCs/>
        </w:rPr>
        <w:t>. Někteří lidé objevili i trend dlouhodobého bydlení na chalupě, protože rekreační nemovitost mimo město je levnější než dům nebo byt ve městě</w:t>
      </w:r>
      <w:r>
        <w:rPr>
          <w:i/>
          <w:iCs/>
        </w:rPr>
        <w:t xml:space="preserve">,“ </w:t>
      </w:r>
      <w:r>
        <w:t xml:space="preserve">říká Irena </w:t>
      </w:r>
      <w:proofErr w:type="spellStart"/>
      <w:r>
        <w:t>Jakobová</w:t>
      </w:r>
      <w:proofErr w:type="spellEnd"/>
      <w:r>
        <w:t xml:space="preserve">, specialistka ze společnosti </w:t>
      </w:r>
      <w:proofErr w:type="spellStart"/>
      <w:r>
        <w:t>FinGO</w:t>
      </w:r>
      <w:proofErr w:type="spellEnd"/>
      <w:r>
        <w:t xml:space="preserve"> a pokračuje:</w:t>
      </w:r>
      <w:r w:rsidR="00B609D8">
        <w:t xml:space="preserve"> </w:t>
      </w:r>
      <w:r>
        <w:t>„</w:t>
      </w:r>
      <w:r>
        <w:rPr>
          <w:i/>
          <w:iCs/>
        </w:rPr>
        <w:t>E</w:t>
      </w:r>
      <w:r w:rsidR="00B609D8" w:rsidRPr="004924B0">
        <w:rPr>
          <w:i/>
          <w:iCs/>
        </w:rPr>
        <w:t xml:space="preserve">konomicky složitá doba </w:t>
      </w:r>
      <w:r w:rsidR="00CB7DF8">
        <w:rPr>
          <w:i/>
          <w:iCs/>
        </w:rPr>
        <w:t xml:space="preserve">však </w:t>
      </w:r>
      <w:r w:rsidR="00B609D8" w:rsidRPr="004924B0">
        <w:rPr>
          <w:i/>
          <w:iCs/>
        </w:rPr>
        <w:t>"chalupářský boom" zastavila a někteří majitelé si uvědomili, že tento styl života jim vlastně ani nevyhovuje, a tak opět začali své chaty a chalupy prodávat.</w:t>
      </w:r>
      <w:r>
        <w:rPr>
          <w:i/>
          <w:iCs/>
        </w:rPr>
        <w:t>“</w:t>
      </w:r>
    </w:p>
    <w:p w14:paraId="68474946" w14:textId="01C993D3" w:rsidR="00CF1D0C" w:rsidRPr="00CB6C20" w:rsidRDefault="00CB6C20" w:rsidP="00CF1D0C">
      <w:r>
        <w:rPr>
          <w:i/>
          <w:iCs/>
        </w:rPr>
        <w:t>„</w:t>
      </w:r>
      <w:r w:rsidR="00B609D8" w:rsidRPr="00CB6C20">
        <w:rPr>
          <w:i/>
          <w:iCs/>
        </w:rPr>
        <w:t xml:space="preserve">I přesto, že ceny chat a chalup na realitním trhu klesají, je důležité pamatovat na jejich hodnotu a </w:t>
      </w:r>
      <w:r w:rsidR="000F5D63" w:rsidRPr="00CB6C20">
        <w:rPr>
          <w:i/>
          <w:iCs/>
        </w:rPr>
        <w:t xml:space="preserve">s tím spojené </w:t>
      </w:r>
      <w:r w:rsidR="00B609D8" w:rsidRPr="00CB6C20">
        <w:rPr>
          <w:i/>
          <w:iCs/>
        </w:rPr>
        <w:t>riziko</w:t>
      </w:r>
      <w:r w:rsidR="006B0EF0" w:rsidRPr="00CB6C20">
        <w:rPr>
          <w:i/>
          <w:iCs/>
        </w:rPr>
        <w:t xml:space="preserve"> stavu</w:t>
      </w:r>
      <w:r w:rsidR="000F5D63" w:rsidRPr="00CB6C20">
        <w:rPr>
          <w:i/>
          <w:iCs/>
        </w:rPr>
        <w:t>, kdy nemovitost není dostatečně pojištěná</w:t>
      </w:r>
      <w:r w:rsidR="00B609D8" w:rsidRPr="00CB6C20">
        <w:rPr>
          <w:i/>
          <w:iCs/>
        </w:rPr>
        <w:t>. Atraktivita prostředí, kde chata nebo chalupa stojí, nemá na cenu pojištění</w:t>
      </w:r>
      <w:r w:rsidR="00BF41AC" w:rsidRPr="00CB6C20">
        <w:rPr>
          <w:i/>
          <w:iCs/>
        </w:rPr>
        <w:t xml:space="preserve"> vliv</w:t>
      </w:r>
      <w:r w:rsidR="00CB7DF8" w:rsidRPr="00CB6C20">
        <w:rPr>
          <w:i/>
          <w:iCs/>
        </w:rPr>
        <w:t>.</w:t>
      </w:r>
      <w:r w:rsidR="00B609D8" w:rsidRPr="00CB6C20">
        <w:rPr>
          <w:i/>
          <w:iCs/>
        </w:rPr>
        <w:t xml:space="preserve"> Hlavním faktorem pro stanovení pojistné částky je cena stavebních materiálů a </w:t>
      </w:r>
      <w:r w:rsidR="00F12B29" w:rsidRPr="00CB6C20">
        <w:rPr>
          <w:i/>
          <w:iCs/>
        </w:rPr>
        <w:t xml:space="preserve">cena </w:t>
      </w:r>
      <w:r w:rsidR="00B609D8" w:rsidRPr="00CB6C20">
        <w:rPr>
          <w:i/>
          <w:iCs/>
        </w:rPr>
        <w:t xml:space="preserve">prací </w:t>
      </w:r>
      <w:r w:rsidR="00F12B29" w:rsidRPr="00CB6C20">
        <w:rPr>
          <w:i/>
          <w:iCs/>
        </w:rPr>
        <w:t>případných oprav –</w:t>
      </w:r>
      <w:r w:rsidR="00B609D8" w:rsidRPr="00CB6C20">
        <w:rPr>
          <w:i/>
          <w:iCs/>
        </w:rPr>
        <w:t xml:space="preserve"> </w:t>
      </w:r>
      <w:r w:rsidR="00F12B29" w:rsidRPr="00CB6C20">
        <w:rPr>
          <w:i/>
          <w:iCs/>
        </w:rPr>
        <w:t>obě dvě</w:t>
      </w:r>
      <w:r w:rsidR="00B609D8" w:rsidRPr="00CB6C20">
        <w:rPr>
          <w:i/>
          <w:iCs/>
        </w:rPr>
        <w:t xml:space="preserve"> neustále stoupají</w:t>
      </w:r>
      <w:r>
        <w:rPr>
          <w:i/>
          <w:iCs/>
        </w:rPr>
        <w:t xml:space="preserve">,“ </w:t>
      </w:r>
      <w:r>
        <w:t xml:space="preserve">dodává Irena </w:t>
      </w:r>
      <w:proofErr w:type="spellStart"/>
      <w:r>
        <w:t>Jakobová</w:t>
      </w:r>
      <w:proofErr w:type="spellEnd"/>
      <w:r>
        <w:t>.</w:t>
      </w:r>
    </w:p>
    <w:p w14:paraId="6128F23D" w14:textId="1FF70D0F" w:rsidR="005E58CB" w:rsidRDefault="005E58CB" w:rsidP="005E58CB">
      <w:r>
        <w:t xml:space="preserve">V roce 2022 byla pro rekreační nemovitosti nejčastější příčinou </w:t>
      </w:r>
      <w:r w:rsidR="008E71A0">
        <w:t xml:space="preserve">pojistných </w:t>
      </w:r>
      <w:r>
        <w:t xml:space="preserve">škod nedbalost. Následovaly události spojené s neprokázaným zaviněním a technickými závadami. Méně častými příčinami byly úmyslné zapálení a problémy s komíny. Mimořádné příčiny, manipulace s hořlavými látkami a výbuchy byly nejméně časté, ale i takových událostí vzniklo celkem na </w:t>
      </w:r>
      <w:r w:rsidR="00BE547D">
        <w:t>350</w:t>
      </w:r>
      <w:r>
        <w:t>.</w:t>
      </w:r>
    </w:p>
    <w:p w14:paraId="18FA1608" w14:textId="7B375860" w:rsidR="00A60878" w:rsidRDefault="007A1EB1" w:rsidP="005E58CB">
      <w:r>
        <w:rPr>
          <w:noProof/>
          <w:sz w:val="16"/>
          <w:szCs w:val="16"/>
        </w:rPr>
        <w:lastRenderedPageBreak/>
        <w:drawing>
          <wp:inline distT="0" distB="0" distL="0" distR="0" wp14:anchorId="15465550" wp14:editId="22218F05">
            <wp:extent cx="5760720" cy="4320540"/>
            <wp:effectExtent l="0" t="0" r="0" b="3810"/>
            <wp:docPr id="12360307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03071" name="Obrázek 12360307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2E71B" w14:textId="55168741" w:rsidR="005E58CB" w:rsidRDefault="005E58CB" w:rsidP="005E58CB"/>
    <w:p w14:paraId="7AE20152" w14:textId="63BCC88C" w:rsidR="005E58CB" w:rsidRDefault="005E58CB" w:rsidP="005E58CB">
      <w:r>
        <w:t xml:space="preserve">Co se týče finančních nákladů, největší </w:t>
      </w:r>
      <w:r w:rsidR="00AF67E6">
        <w:t>zátěž</w:t>
      </w:r>
      <w:r w:rsidR="000F5D63">
        <w:t xml:space="preserve"> </w:t>
      </w:r>
      <w:r>
        <w:t>představovaly škody z požárů. Celkový objem škod způsobených požáry se vyšplhal 3 588 138 000 Kč. Průměrná škoda z</w:t>
      </w:r>
      <w:r w:rsidR="00A65C3F">
        <w:t xml:space="preserve"> jednoho</w:t>
      </w:r>
      <w:r>
        <w:t xml:space="preserve"> požáru </w:t>
      </w:r>
      <w:r w:rsidR="000F5D63">
        <w:t xml:space="preserve">pak </w:t>
      </w:r>
      <w:r>
        <w:t>činila 676 114 Kč. Dále bylo zaznamenáno přes sedm tisíc událostí způsobených povodněmi s celkovým objemem 450 618 000 Kč a průměrnou škodou 60 632 Kč.</w:t>
      </w:r>
    </w:p>
    <w:p w14:paraId="63BC9E4A" w14:textId="77777777" w:rsidR="00BE547D" w:rsidRDefault="00BE547D" w:rsidP="005E58CB">
      <w:r>
        <w:rPr>
          <w:noProof/>
        </w:rPr>
        <w:lastRenderedPageBreak/>
        <w:drawing>
          <wp:inline distT="0" distB="0" distL="0" distR="0" wp14:anchorId="4E9111AC" wp14:editId="2E5FDCFC">
            <wp:extent cx="5753100" cy="4318000"/>
            <wp:effectExtent l="0" t="0" r="0" b="6350"/>
            <wp:docPr id="147572457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31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14:paraId="1F62DF93" w14:textId="778E643C" w:rsidR="005E58CB" w:rsidRDefault="005E58CB" w:rsidP="005E58CB">
      <w:r>
        <w:t xml:space="preserve">Tyto statistiky jasně ukazují, jak důležité je mít vhodné pojištění pro rekreační nemovitosti. </w:t>
      </w:r>
    </w:p>
    <w:p w14:paraId="75F151BF" w14:textId="77777777" w:rsidR="00F4264B" w:rsidRDefault="00F4264B" w:rsidP="005E58CB"/>
    <w:p w14:paraId="5F669381" w14:textId="77777777" w:rsidR="00E26FD2" w:rsidRPr="00E26FD2" w:rsidRDefault="00E26FD2" w:rsidP="00E26FD2">
      <w:pPr>
        <w:rPr>
          <w:b/>
          <w:bCs/>
        </w:rPr>
      </w:pPr>
      <w:r w:rsidRPr="00E26FD2">
        <w:rPr>
          <w:b/>
          <w:bCs/>
        </w:rPr>
        <w:t>Zajistěte si klidné chataření: Tipy pro správné pojištění vaší rekreační nemovitosti</w:t>
      </w:r>
    </w:p>
    <w:p w14:paraId="792E55EC" w14:textId="390ADAEA" w:rsidR="00E26FD2" w:rsidRPr="002B088A" w:rsidRDefault="00E26FD2" w:rsidP="00E26FD2">
      <w:r w:rsidRPr="002B088A">
        <w:t>Každý vlastní</w:t>
      </w:r>
      <w:r w:rsidR="00FC4C51">
        <w:t>k</w:t>
      </w:r>
      <w:r w:rsidRPr="002B088A">
        <w:t xml:space="preserve"> chaty či chalupy by </w:t>
      </w:r>
      <w:r w:rsidR="002B088A" w:rsidRPr="002B088A">
        <w:t xml:space="preserve">neměl zapomenout </w:t>
      </w:r>
      <w:r w:rsidRPr="002B088A">
        <w:t xml:space="preserve">na pojištění svého rekreačního domu. Většina pojišťoven nabízí pojistku pro rekreační nemovitosti, a pokud </w:t>
      </w:r>
      <w:r w:rsidR="001C1AAA" w:rsidRPr="002B088A">
        <w:t>má na dané adrese majitel</w:t>
      </w:r>
      <w:r w:rsidRPr="002B088A">
        <w:t xml:space="preserve"> trval</w:t>
      </w:r>
      <w:r w:rsidR="001C1AAA" w:rsidRPr="002B088A">
        <w:t>é</w:t>
      </w:r>
      <w:r w:rsidRPr="002B088A">
        <w:t xml:space="preserve"> bydliště, </w:t>
      </w:r>
      <w:r w:rsidR="001C1AAA" w:rsidRPr="002B088A">
        <w:t xml:space="preserve">může </w:t>
      </w:r>
      <w:r w:rsidRPr="002B088A">
        <w:t>dokonce získat výhodnější sazbu. Co všechno je dobré mít na paměti?</w:t>
      </w:r>
    </w:p>
    <w:p w14:paraId="32880783" w14:textId="4152D52B" w:rsidR="00E26FD2" w:rsidRPr="002B088A" w:rsidRDefault="00E26FD2" w:rsidP="00E26FD2">
      <w:r w:rsidRPr="002B088A">
        <w:t xml:space="preserve">Živelné pohromy, vloupání, vodovodní škody, přepětí a </w:t>
      </w:r>
      <w:r w:rsidR="00FC4C51" w:rsidRPr="002B088A">
        <w:t>vandalismus – to</w:t>
      </w:r>
      <w:r w:rsidRPr="002B088A">
        <w:t xml:space="preserve"> jsou nejčastější rizika, která pokrývá pojištění nemovitosti. Povodně a záplavy </w:t>
      </w:r>
      <w:r w:rsidR="000713D1">
        <w:t xml:space="preserve">nebývají zahrnuty v základních nabídkách, </w:t>
      </w:r>
      <w:r w:rsidR="00B26449">
        <w:t>ačkoli</w:t>
      </w:r>
      <w:r w:rsidR="000713D1">
        <w:t xml:space="preserve"> </w:t>
      </w:r>
      <w:r w:rsidR="00B043B2">
        <w:t>jsou</w:t>
      </w:r>
      <w:r w:rsidRPr="002B088A">
        <w:t xml:space="preserve"> v České republice </w:t>
      </w:r>
      <w:r w:rsidR="00B043B2">
        <w:t>relativně častým jevem</w:t>
      </w:r>
      <w:r w:rsidR="000713D1">
        <w:t>. P</w:t>
      </w:r>
      <w:r w:rsidRPr="002B088A">
        <w:t xml:space="preserve">roto </w:t>
      </w:r>
      <w:r w:rsidR="000713D1">
        <w:t xml:space="preserve">by majitelé </w:t>
      </w:r>
      <w:r w:rsidR="00B26449">
        <w:t>nemovitostí</w:t>
      </w:r>
      <w:r w:rsidR="000713D1">
        <w:t xml:space="preserve"> v</w:t>
      </w:r>
      <w:r w:rsidR="00B26449">
        <w:t xml:space="preserve"> záplavových oblastech měli </w:t>
      </w:r>
      <w:r w:rsidRPr="002B088A">
        <w:t>být obezřetn</w:t>
      </w:r>
      <w:r w:rsidR="00B26449">
        <w:t xml:space="preserve">í </w:t>
      </w:r>
      <w:r w:rsidRPr="002B088A">
        <w:t>a zhodnotit míru rizika výskytu v dané oblasti. Česk</w:t>
      </w:r>
      <w:r w:rsidR="00B043B2">
        <w:t>á</w:t>
      </w:r>
      <w:r w:rsidRPr="002B088A">
        <w:t xml:space="preserve"> republik</w:t>
      </w:r>
      <w:r w:rsidR="00B043B2">
        <w:t>a</w:t>
      </w:r>
      <w:r w:rsidRPr="002B088A">
        <w:t xml:space="preserve"> </w:t>
      </w:r>
      <w:r w:rsidR="00701C48">
        <w:t>je</w:t>
      </w:r>
      <w:r w:rsidRPr="002B088A">
        <w:t xml:space="preserve"> rozdělen</w:t>
      </w:r>
      <w:r w:rsidR="00701C48">
        <w:t>a</w:t>
      </w:r>
      <w:r w:rsidRPr="002B088A">
        <w:t xml:space="preserve"> do čtyř povodňových zón, které určují míru rizika. Majitelé nemovitostí ve vyšších povodňových zónách mohou čelit vyšším cenám pojistek a některé pojišťovny dokonce nemusí vůbec pojistit nemovitosti ve 3. a 4. povodňové zóně.</w:t>
      </w:r>
      <w:r w:rsidR="000713D1">
        <w:t xml:space="preserve"> </w:t>
      </w:r>
    </w:p>
    <w:p w14:paraId="279500BC" w14:textId="77777777" w:rsidR="00E26FD2" w:rsidRPr="002B088A" w:rsidRDefault="00E26FD2" w:rsidP="00E26FD2"/>
    <w:p w14:paraId="6A836CD3" w14:textId="63CA8530" w:rsidR="00F1446A" w:rsidRDefault="00E26FD2" w:rsidP="00E26FD2">
      <w:r w:rsidRPr="002B088A">
        <w:lastRenderedPageBreak/>
        <w:t xml:space="preserve">Dalším klíčovým aspektem při chalupaření je pojištění proti požáru. Požár je základním živelným rizikem, které pokrývají téměř všechny pojišťovny. Příčiny požárů mohou být </w:t>
      </w:r>
      <w:r w:rsidR="003857C5" w:rsidRPr="002B088A">
        <w:t>různé – od</w:t>
      </w:r>
      <w:r w:rsidRPr="002B088A">
        <w:t xml:space="preserve"> nedbalosti až po technické závady.</w:t>
      </w:r>
    </w:p>
    <w:p w14:paraId="13971441" w14:textId="0A47E65C" w:rsidR="00E26FD2" w:rsidRPr="002B088A" w:rsidRDefault="00F21C92" w:rsidP="00E26FD2">
      <w:r>
        <w:t xml:space="preserve">Pokud </w:t>
      </w:r>
      <w:r w:rsidR="00B13378">
        <w:t xml:space="preserve">má rekreační objekt v přímé blízkosti jinou nemovitost či jiný cizí majetek, </w:t>
      </w:r>
      <w:r w:rsidR="00F1446A">
        <w:t xml:space="preserve">je vhodné zvážit též </w:t>
      </w:r>
      <w:r w:rsidR="00F1446A" w:rsidRPr="00F1446A">
        <w:t xml:space="preserve">pojištění odpovědnosti z držby nemovitosti. To pomůže </w:t>
      </w:r>
      <w:r w:rsidR="00F1446A">
        <w:t>pokrýt</w:t>
      </w:r>
      <w:r w:rsidR="00F1446A" w:rsidRPr="00F1446A">
        <w:t xml:space="preserve"> škody</w:t>
      </w:r>
      <w:r w:rsidR="00ED5BF1">
        <w:t xml:space="preserve"> na majetku ostatních</w:t>
      </w:r>
      <w:r w:rsidR="00F1446A" w:rsidRPr="00F1446A">
        <w:t xml:space="preserve">, které by </w:t>
      </w:r>
      <w:r w:rsidR="00ED5BF1">
        <w:t>mohly vzniknout</w:t>
      </w:r>
      <w:r w:rsidR="00F1446A">
        <w:t xml:space="preserve"> například</w:t>
      </w:r>
      <w:r w:rsidR="00ED5BF1">
        <w:t xml:space="preserve"> právě</w:t>
      </w:r>
      <w:r w:rsidR="00F1446A">
        <w:t xml:space="preserve"> při požáru. </w:t>
      </w:r>
      <w:r w:rsidR="00E26FD2" w:rsidRPr="002B088A">
        <w:t xml:space="preserve">Mimo základního pojištění chaty a chalupy </w:t>
      </w:r>
      <w:r w:rsidR="00F1446A">
        <w:t>je možné si sjednat také</w:t>
      </w:r>
      <w:r w:rsidR="00E26FD2" w:rsidRPr="002B088A">
        <w:t xml:space="preserve"> pojištění rekreační domácnosti. To zahrnuje vnitřní vybavení, jako je nábytek a elektrické spotřebiče</w:t>
      </w:r>
      <w:r w:rsidR="00F1446A">
        <w:t>.</w:t>
      </w:r>
    </w:p>
    <w:p w14:paraId="25F0C893" w14:textId="307D5422" w:rsidR="00E26FD2" w:rsidRPr="002B088A" w:rsidRDefault="00E26FD2" w:rsidP="00E26FD2">
      <w:r w:rsidRPr="002B088A">
        <w:t>Nenechte nic náhodě a pamatujte na správné zabezpečení vaší nemovitosti. Každá pojišťovna má své specifické požadavky v pojistných podmínkách</w:t>
      </w:r>
      <w:r w:rsidR="00F1446A">
        <w:t xml:space="preserve">. V případě nejistoty </w:t>
      </w:r>
      <w:r w:rsidR="002A6A80">
        <w:t>doporučujeme</w:t>
      </w:r>
      <w:r w:rsidR="00F1446A">
        <w:t xml:space="preserve"> obrátit</w:t>
      </w:r>
      <w:r w:rsidR="002A6A80">
        <w:t xml:space="preserve"> se</w:t>
      </w:r>
      <w:r w:rsidR="00F1446A">
        <w:t xml:space="preserve"> na </w:t>
      </w:r>
      <w:r w:rsidR="002A6A80">
        <w:t xml:space="preserve">společnost </w:t>
      </w:r>
      <w:proofErr w:type="spellStart"/>
      <w:r w:rsidR="002A6A80">
        <w:t>FinGO</w:t>
      </w:r>
      <w:proofErr w:type="spellEnd"/>
      <w:r w:rsidR="00F1446A">
        <w:t>, kter</w:t>
      </w:r>
      <w:r w:rsidR="002A6A80">
        <w:t>á</w:t>
      </w:r>
      <w:r w:rsidR="00F1446A">
        <w:t xml:space="preserve"> </w:t>
      </w:r>
      <w:r w:rsidR="00C50D3A">
        <w:t xml:space="preserve">dokáže </w:t>
      </w:r>
      <w:r w:rsidR="00F1446A">
        <w:t>zjist</w:t>
      </w:r>
      <w:r w:rsidR="00C50D3A">
        <w:t>it</w:t>
      </w:r>
      <w:r w:rsidR="00F1446A">
        <w:t xml:space="preserve"> nejlepší nabídku pro</w:t>
      </w:r>
      <w:r w:rsidR="00DC7264">
        <w:t> </w:t>
      </w:r>
      <w:r w:rsidR="00F1446A">
        <w:t xml:space="preserve">konkrétní případ. </w:t>
      </w:r>
    </w:p>
    <w:p w14:paraId="365D43DE" w14:textId="77777777" w:rsidR="00C1615D" w:rsidRDefault="00C1615D" w:rsidP="00CF1D0C"/>
    <w:p w14:paraId="64F2365B" w14:textId="2A63DA65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 xml:space="preserve">O společnosti </w:t>
      </w:r>
      <w:hyperlink r:id="rId12" w:history="1">
        <w:proofErr w:type="spellStart"/>
        <w:r w:rsidRPr="008E71A0">
          <w:rPr>
            <w:rStyle w:val="Hypertextovodkaz"/>
            <w:i/>
            <w:iCs/>
            <w:sz w:val="20"/>
            <w:szCs w:val="20"/>
          </w:rPr>
          <w:t>FinGO</w:t>
        </w:r>
        <w:proofErr w:type="spellEnd"/>
      </w:hyperlink>
      <w:r w:rsidRPr="00C00401">
        <w:rPr>
          <w:i/>
          <w:iCs/>
          <w:sz w:val="20"/>
          <w:szCs w:val="20"/>
        </w:rPr>
        <w:t>:</w:t>
      </w:r>
    </w:p>
    <w:p w14:paraId="3B1C2BAF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>Digitální finančně-poradenská společnost FinGO.cz začala v České republice působit v roce 2021 s cílem přinést makléřům i klientům pohodlí, férovost a díky digitálním technologiím také příležitost, jak oslovit nové klienty. V současnosti má společnost přes 580 vázaných zástupců, kteří působí po celé České republice. V roce 2022 patřila k nejrychleji rostoucím makléřským společnostem, přičemž v oblasti úvěrů rostla nejrychleji ze všech.  Významný podíl produkce FinGO.cz pochází z online příležitostí, které společnost sama vytváří pro své vázané zástupce.</w:t>
      </w:r>
    </w:p>
    <w:p w14:paraId="42C49E42" w14:textId="77777777" w:rsidR="00712072" w:rsidRPr="00C00401" w:rsidRDefault="00712072" w:rsidP="00C00401">
      <w:pPr>
        <w:rPr>
          <w:i/>
          <w:iCs/>
          <w:sz w:val="20"/>
          <w:szCs w:val="20"/>
        </w:rPr>
      </w:pPr>
      <w:r w:rsidRPr="00C00401">
        <w:rPr>
          <w:i/>
          <w:iCs/>
          <w:sz w:val="20"/>
          <w:szCs w:val="20"/>
        </w:rPr>
        <w:t xml:space="preserve">Společnost </w:t>
      </w:r>
      <w:proofErr w:type="spellStart"/>
      <w:r w:rsidRPr="00C00401">
        <w:rPr>
          <w:i/>
          <w:iCs/>
          <w:sz w:val="20"/>
          <w:szCs w:val="20"/>
        </w:rPr>
        <w:t>FinGO</w:t>
      </w:r>
      <w:proofErr w:type="spellEnd"/>
      <w:r w:rsidRPr="00C00401">
        <w:rPr>
          <w:i/>
          <w:iCs/>
          <w:sz w:val="20"/>
          <w:szCs w:val="20"/>
        </w:rPr>
        <w:t xml:space="preserve"> je součástí lokální investiční skupiny </w:t>
      </w:r>
      <w:proofErr w:type="spellStart"/>
      <w:r w:rsidRPr="00C00401">
        <w:rPr>
          <w:i/>
          <w:iCs/>
          <w:sz w:val="20"/>
          <w:szCs w:val="20"/>
        </w:rPr>
        <w:t>InTeFi</w:t>
      </w:r>
      <w:proofErr w:type="spellEnd"/>
      <w:r w:rsidRPr="00C00401">
        <w:rPr>
          <w:i/>
          <w:iCs/>
          <w:sz w:val="20"/>
          <w:szCs w:val="20"/>
        </w:rPr>
        <w:t xml:space="preserve"> </w:t>
      </w:r>
      <w:proofErr w:type="spellStart"/>
      <w:r w:rsidRPr="00C00401">
        <w:rPr>
          <w:i/>
          <w:iCs/>
          <w:sz w:val="20"/>
          <w:szCs w:val="20"/>
        </w:rPr>
        <w:t>Capital</w:t>
      </w:r>
      <w:proofErr w:type="spellEnd"/>
      <w:r w:rsidRPr="00C00401">
        <w:rPr>
          <w:i/>
          <w:iCs/>
          <w:sz w:val="20"/>
          <w:szCs w:val="20"/>
        </w:rPr>
        <w:t xml:space="preserve"> podnikatele a investora Lukáše Nováka. Skupina vlastní a řídí české a slovenské společnosti z oblastí informačních technologií, financí, a </w:t>
      </w:r>
      <w:proofErr w:type="spellStart"/>
      <w:r w:rsidRPr="00C00401">
        <w:rPr>
          <w:i/>
          <w:iCs/>
          <w:sz w:val="20"/>
          <w:szCs w:val="20"/>
        </w:rPr>
        <w:t>real</w:t>
      </w:r>
      <w:proofErr w:type="spellEnd"/>
      <w:r w:rsidRPr="00C00401">
        <w:rPr>
          <w:i/>
          <w:iCs/>
          <w:sz w:val="20"/>
          <w:szCs w:val="20"/>
        </w:rPr>
        <w:t xml:space="preserve"> </w:t>
      </w:r>
      <w:proofErr w:type="spellStart"/>
      <w:r w:rsidRPr="00C00401">
        <w:rPr>
          <w:i/>
          <w:iCs/>
          <w:sz w:val="20"/>
          <w:szCs w:val="20"/>
        </w:rPr>
        <w:t>estate</w:t>
      </w:r>
      <w:proofErr w:type="spellEnd"/>
      <w:r w:rsidRPr="00C00401">
        <w:rPr>
          <w:i/>
          <w:iCs/>
          <w:sz w:val="20"/>
          <w:szCs w:val="20"/>
        </w:rPr>
        <w:t xml:space="preserve"> developmentu. Podíl vlastní například v technologické skupině </w:t>
      </w:r>
      <w:proofErr w:type="spellStart"/>
      <w:r w:rsidRPr="00C00401">
        <w:rPr>
          <w:i/>
          <w:iCs/>
          <w:sz w:val="20"/>
          <w:szCs w:val="20"/>
        </w:rPr>
        <w:t>BiQ</w:t>
      </w:r>
      <w:proofErr w:type="spellEnd"/>
      <w:r w:rsidRPr="00C00401">
        <w:rPr>
          <w:i/>
          <w:iCs/>
          <w:sz w:val="20"/>
          <w:szCs w:val="20"/>
        </w:rPr>
        <w:t xml:space="preserve"> Group, která vytváří komplexní a udržitelné IT projekty s budoucností. Společnost FinGO.sk byla založena před pěti lety a stala se jednou z nejrychleji rostoucích společností ve svém oboru na Slovensku. Více než 1100 odborníků působí ve všech 79 okresech Slovenska a stará se o téměř 110 000 spokojených klientů.</w:t>
      </w:r>
    </w:p>
    <w:p w14:paraId="0BF820F9" w14:textId="77777777" w:rsidR="0096059C" w:rsidRPr="00BA0D1B" w:rsidRDefault="0096059C" w:rsidP="00C00401">
      <w:pPr>
        <w:rPr>
          <w:i/>
          <w:iCs/>
          <w:sz w:val="20"/>
          <w:szCs w:val="20"/>
        </w:rPr>
      </w:pPr>
      <w:r w:rsidRPr="007774BA">
        <w:rPr>
          <w:noProof/>
        </w:rPr>
        <w:drawing>
          <wp:anchor distT="0" distB="0" distL="114300" distR="114300" simplePos="0" relativeHeight="251659264" behindDoc="0" locked="0" layoutInCell="1" allowOverlap="1" wp14:anchorId="49159F83" wp14:editId="5D954120">
            <wp:simplePos x="0" y="0"/>
            <wp:positionH relativeFrom="margin">
              <wp:posOffset>3605530</wp:posOffset>
            </wp:positionH>
            <wp:positionV relativeFrom="paragraph">
              <wp:posOffset>331470</wp:posOffset>
            </wp:positionV>
            <wp:extent cx="460375" cy="431800"/>
            <wp:effectExtent l="0" t="0" r="0" b="6350"/>
            <wp:wrapSquare wrapText="bothSides"/>
            <wp:docPr id="2096601148" name="Obrázek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6601148" name="Obrázek 7">
                      <a:hlinkClick r:id="rId13"/>
                    </pic:cNvPr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3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3360" behindDoc="0" locked="0" layoutInCell="1" allowOverlap="1" wp14:anchorId="41F04EFA" wp14:editId="3B12AB4E">
            <wp:simplePos x="0" y="0"/>
            <wp:positionH relativeFrom="column">
              <wp:posOffset>4643755</wp:posOffset>
            </wp:positionH>
            <wp:positionV relativeFrom="paragraph">
              <wp:posOffset>321945</wp:posOffset>
            </wp:positionV>
            <wp:extent cx="467995" cy="431800"/>
            <wp:effectExtent l="0" t="0" r="8255" b="6350"/>
            <wp:wrapSquare wrapText="bothSides"/>
            <wp:docPr id="415049230" name="Obrázek 5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049230" name="Obrázek 5">
                      <a:hlinkClick r:id="rId15"/>
                    </pic:cNvPr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99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1312" behindDoc="0" locked="0" layoutInCell="1" allowOverlap="1" wp14:anchorId="5642AB0C" wp14:editId="56A8D1C9">
            <wp:simplePos x="0" y="0"/>
            <wp:positionH relativeFrom="margin">
              <wp:posOffset>3957955</wp:posOffset>
            </wp:positionH>
            <wp:positionV relativeFrom="paragraph">
              <wp:posOffset>321945</wp:posOffset>
            </wp:positionV>
            <wp:extent cx="845820" cy="431800"/>
            <wp:effectExtent l="0" t="0" r="0" b="6350"/>
            <wp:wrapSquare wrapText="bothSides"/>
            <wp:docPr id="1399757103" name="Obrázek 6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9757103" name="Obrázek 6">
                      <a:hlinkClick r:id="rId17"/>
                    </pic:cNvPr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74BA">
        <w:rPr>
          <w:noProof/>
        </w:rPr>
        <w:drawing>
          <wp:anchor distT="0" distB="0" distL="114300" distR="114300" simplePos="0" relativeHeight="251665408" behindDoc="0" locked="0" layoutInCell="1" allowOverlap="1" wp14:anchorId="2584F179" wp14:editId="7830868C">
            <wp:simplePos x="0" y="0"/>
            <wp:positionH relativeFrom="margin">
              <wp:align>right</wp:align>
            </wp:positionH>
            <wp:positionV relativeFrom="paragraph">
              <wp:posOffset>340995</wp:posOffset>
            </wp:positionV>
            <wp:extent cx="572135" cy="431800"/>
            <wp:effectExtent l="0" t="0" r="0" b="6350"/>
            <wp:wrapSquare wrapText="bothSides"/>
            <wp:docPr id="1430303569" name="Obrázek 4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03569" name="Obrázek 4">
                      <a:hlinkClick r:id="rId19"/>
                    </pic:cNvPr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13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7423D6" w14:textId="77777777" w:rsidR="00945026" w:rsidRPr="00BA0D1B" w:rsidRDefault="00945026">
      <w:pPr>
        <w:rPr>
          <w:i/>
          <w:iCs/>
          <w:sz w:val="20"/>
          <w:szCs w:val="20"/>
        </w:rPr>
      </w:pPr>
    </w:p>
    <w:sectPr w:rsidR="00945026" w:rsidRPr="00BA0D1B">
      <w:headerReference w:type="default" r:id="rId21"/>
      <w:footerReference w:type="default" r:id="rId2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4A2A6" w14:textId="77777777" w:rsidR="00FC20FD" w:rsidRDefault="00FC20FD" w:rsidP="00C00401">
      <w:r>
        <w:separator/>
      </w:r>
    </w:p>
  </w:endnote>
  <w:endnote w:type="continuationSeparator" w:id="0">
    <w:p w14:paraId="2455B559" w14:textId="77777777" w:rsidR="00FC20FD" w:rsidRDefault="00FC20FD" w:rsidP="00C00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7E791658" w14:paraId="4DFD8327" w14:textId="77777777" w:rsidTr="7E791658">
      <w:trPr>
        <w:trHeight w:val="300"/>
      </w:trPr>
      <w:tc>
        <w:tcPr>
          <w:tcW w:w="3020" w:type="dxa"/>
        </w:tcPr>
        <w:p w14:paraId="01B97112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423365E7" w14:textId="77777777" w:rsidR="7E791658" w:rsidRDefault="7E791658" w:rsidP="00C00401">
          <w:pPr>
            <w:pStyle w:val="Zhlav"/>
          </w:pPr>
        </w:p>
      </w:tc>
      <w:tc>
        <w:tcPr>
          <w:tcW w:w="3020" w:type="dxa"/>
        </w:tcPr>
        <w:p w14:paraId="48D928C2" w14:textId="77777777" w:rsidR="7E791658" w:rsidRDefault="7E791658" w:rsidP="00C00401">
          <w:pPr>
            <w:pStyle w:val="Zhlav"/>
          </w:pPr>
        </w:p>
      </w:tc>
    </w:tr>
  </w:tbl>
  <w:p w14:paraId="119D3F7F" w14:textId="77777777" w:rsidR="7E791658" w:rsidRDefault="7E791658" w:rsidP="00C0040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4BE47" w14:textId="77777777" w:rsidR="00FC20FD" w:rsidRDefault="00FC20FD" w:rsidP="00C00401">
      <w:r>
        <w:separator/>
      </w:r>
    </w:p>
  </w:footnote>
  <w:footnote w:type="continuationSeparator" w:id="0">
    <w:p w14:paraId="2A42C234" w14:textId="77777777" w:rsidR="00FC20FD" w:rsidRDefault="00FC20FD" w:rsidP="00C00401">
      <w:r>
        <w:continuationSeparator/>
      </w:r>
    </w:p>
  </w:footnote>
  <w:footnote w:id="1">
    <w:p w14:paraId="5C528882" w14:textId="654BDB2F" w:rsidR="00804BB6" w:rsidRDefault="00804BB6">
      <w:pPr>
        <w:pStyle w:val="Textpoznpodarou"/>
      </w:pPr>
      <w:r>
        <w:rPr>
          <w:rStyle w:val="Znakapoznpodarou"/>
        </w:rPr>
        <w:footnoteRef/>
      </w:r>
      <w:r>
        <w:t xml:space="preserve"> Zdroj: drevostavitel.cz, dostupné z: </w:t>
      </w:r>
      <w:hyperlink r:id="rId1" w:history="1">
        <w:r w:rsidRPr="00234285">
          <w:rPr>
            <w:rStyle w:val="Hypertextovodkaz"/>
          </w:rPr>
          <w:t>https://www.drevostavitel.cz/clanek/chaty-a-chaticky-fotogalerie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10A53" w14:textId="77777777" w:rsidR="009B404E" w:rsidRPr="00C00401" w:rsidRDefault="009B404E" w:rsidP="00C00401">
    <w:pPr>
      <w:pStyle w:val="Zahlavi"/>
    </w:pPr>
    <w:r w:rsidRPr="00C00401">
      <w:drawing>
        <wp:anchor distT="0" distB="0" distL="114300" distR="114300" simplePos="0" relativeHeight="251658240" behindDoc="0" locked="0" layoutInCell="1" allowOverlap="1" wp14:anchorId="31136EE4" wp14:editId="5191DF78">
          <wp:simplePos x="0" y="0"/>
          <wp:positionH relativeFrom="column">
            <wp:posOffset>4310380</wp:posOffset>
          </wp:positionH>
          <wp:positionV relativeFrom="paragraph">
            <wp:posOffset>-325755</wp:posOffset>
          </wp:positionV>
          <wp:extent cx="1895475" cy="768985"/>
          <wp:effectExtent l="0" t="0" r="9525" b="0"/>
          <wp:wrapSquare wrapText="bothSides"/>
          <wp:docPr id="399986389" name="Grafický 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986389" name="Grafický objekt 399986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475" cy="7689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A9608FC" w14:textId="77777777" w:rsidR="009B404E" w:rsidRDefault="009B404E" w:rsidP="00C004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D0C"/>
    <w:rsid w:val="00065953"/>
    <w:rsid w:val="000713D1"/>
    <w:rsid w:val="000F5D63"/>
    <w:rsid w:val="00160E3C"/>
    <w:rsid w:val="001653DF"/>
    <w:rsid w:val="0017405B"/>
    <w:rsid w:val="001B4EA0"/>
    <w:rsid w:val="001C1AAA"/>
    <w:rsid w:val="001C1F70"/>
    <w:rsid w:val="001D567F"/>
    <w:rsid w:val="001E6AB9"/>
    <w:rsid w:val="002027C0"/>
    <w:rsid w:val="00204ED4"/>
    <w:rsid w:val="00233E02"/>
    <w:rsid w:val="00264A1D"/>
    <w:rsid w:val="002869F9"/>
    <w:rsid w:val="00287DF5"/>
    <w:rsid w:val="002A6A80"/>
    <w:rsid w:val="002B088A"/>
    <w:rsid w:val="002F5FAF"/>
    <w:rsid w:val="003522F3"/>
    <w:rsid w:val="003760BD"/>
    <w:rsid w:val="003857C5"/>
    <w:rsid w:val="003C0040"/>
    <w:rsid w:val="003E5D6E"/>
    <w:rsid w:val="00411B6E"/>
    <w:rsid w:val="004741F4"/>
    <w:rsid w:val="004866AD"/>
    <w:rsid w:val="004924B0"/>
    <w:rsid w:val="004B5145"/>
    <w:rsid w:val="004F1B81"/>
    <w:rsid w:val="00583C0E"/>
    <w:rsid w:val="005970E4"/>
    <w:rsid w:val="005E58CB"/>
    <w:rsid w:val="00605457"/>
    <w:rsid w:val="00632190"/>
    <w:rsid w:val="00633335"/>
    <w:rsid w:val="00663AE0"/>
    <w:rsid w:val="0067309D"/>
    <w:rsid w:val="00694522"/>
    <w:rsid w:val="006A1663"/>
    <w:rsid w:val="006A3B3C"/>
    <w:rsid w:val="006B0EF0"/>
    <w:rsid w:val="006B3147"/>
    <w:rsid w:val="006C0694"/>
    <w:rsid w:val="00701C48"/>
    <w:rsid w:val="00712072"/>
    <w:rsid w:val="0071760B"/>
    <w:rsid w:val="0075290E"/>
    <w:rsid w:val="007570DA"/>
    <w:rsid w:val="007774BA"/>
    <w:rsid w:val="0079C103"/>
    <w:rsid w:val="007A0EAA"/>
    <w:rsid w:val="007A1EB1"/>
    <w:rsid w:val="007A5EA9"/>
    <w:rsid w:val="007B0B03"/>
    <w:rsid w:val="007D7647"/>
    <w:rsid w:val="007F382D"/>
    <w:rsid w:val="00803EB2"/>
    <w:rsid w:val="00804BB6"/>
    <w:rsid w:val="008118A6"/>
    <w:rsid w:val="00816CA2"/>
    <w:rsid w:val="00863DB8"/>
    <w:rsid w:val="0089657F"/>
    <w:rsid w:val="008A6C2D"/>
    <w:rsid w:val="008B3101"/>
    <w:rsid w:val="008E71A0"/>
    <w:rsid w:val="008F4BB2"/>
    <w:rsid w:val="00912EE6"/>
    <w:rsid w:val="00942094"/>
    <w:rsid w:val="00945026"/>
    <w:rsid w:val="0096059C"/>
    <w:rsid w:val="009726B3"/>
    <w:rsid w:val="009A6856"/>
    <w:rsid w:val="009B404E"/>
    <w:rsid w:val="00A22F12"/>
    <w:rsid w:val="00A3692D"/>
    <w:rsid w:val="00A60878"/>
    <w:rsid w:val="00A65C3F"/>
    <w:rsid w:val="00AC7B69"/>
    <w:rsid w:val="00AF67E6"/>
    <w:rsid w:val="00B043B2"/>
    <w:rsid w:val="00B13378"/>
    <w:rsid w:val="00B13DE2"/>
    <w:rsid w:val="00B17E76"/>
    <w:rsid w:val="00B21DC7"/>
    <w:rsid w:val="00B26449"/>
    <w:rsid w:val="00B33F2B"/>
    <w:rsid w:val="00B609D8"/>
    <w:rsid w:val="00B6406A"/>
    <w:rsid w:val="00BA0D1B"/>
    <w:rsid w:val="00BE547D"/>
    <w:rsid w:val="00BF41AC"/>
    <w:rsid w:val="00C00401"/>
    <w:rsid w:val="00C10D7B"/>
    <w:rsid w:val="00C1615D"/>
    <w:rsid w:val="00C5060F"/>
    <w:rsid w:val="00C50D3A"/>
    <w:rsid w:val="00C97907"/>
    <w:rsid w:val="00CB6C20"/>
    <w:rsid w:val="00CB7DF8"/>
    <w:rsid w:val="00CD7CB4"/>
    <w:rsid w:val="00CF09EA"/>
    <w:rsid w:val="00CF1D0C"/>
    <w:rsid w:val="00D0331D"/>
    <w:rsid w:val="00D36DD1"/>
    <w:rsid w:val="00D42865"/>
    <w:rsid w:val="00D525EB"/>
    <w:rsid w:val="00D773A8"/>
    <w:rsid w:val="00DA6895"/>
    <w:rsid w:val="00DC7264"/>
    <w:rsid w:val="00DF2E9C"/>
    <w:rsid w:val="00E07AB6"/>
    <w:rsid w:val="00E1263A"/>
    <w:rsid w:val="00E21E20"/>
    <w:rsid w:val="00E26FD2"/>
    <w:rsid w:val="00E50585"/>
    <w:rsid w:val="00EB106F"/>
    <w:rsid w:val="00ED5BF1"/>
    <w:rsid w:val="00EE60A2"/>
    <w:rsid w:val="00EF2E1C"/>
    <w:rsid w:val="00F12B29"/>
    <w:rsid w:val="00F1446A"/>
    <w:rsid w:val="00F17032"/>
    <w:rsid w:val="00F17089"/>
    <w:rsid w:val="00F17816"/>
    <w:rsid w:val="00F21C92"/>
    <w:rsid w:val="00F4264B"/>
    <w:rsid w:val="00F44CAB"/>
    <w:rsid w:val="00F53CB5"/>
    <w:rsid w:val="00F643F8"/>
    <w:rsid w:val="00F76739"/>
    <w:rsid w:val="00F93579"/>
    <w:rsid w:val="00FC20FD"/>
    <w:rsid w:val="00FC4C51"/>
    <w:rsid w:val="00FE6C13"/>
    <w:rsid w:val="011533B8"/>
    <w:rsid w:val="0292A6C4"/>
    <w:rsid w:val="029DC66C"/>
    <w:rsid w:val="041D961F"/>
    <w:rsid w:val="042E7725"/>
    <w:rsid w:val="19FDC650"/>
    <w:rsid w:val="22632DE7"/>
    <w:rsid w:val="28E7E31B"/>
    <w:rsid w:val="2EE4291B"/>
    <w:rsid w:val="3EEE3085"/>
    <w:rsid w:val="4323EA48"/>
    <w:rsid w:val="4ACD1488"/>
    <w:rsid w:val="4DD12B92"/>
    <w:rsid w:val="5B5408C7"/>
    <w:rsid w:val="68D1F57C"/>
    <w:rsid w:val="6F388BE0"/>
    <w:rsid w:val="74F34B79"/>
    <w:rsid w:val="75A3F786"/>
    <w:rsid w:val="79D34523"/>
    <w:rsid w:val="7E79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3F75D4"/>
  <w15:chartTrackingRefBased/>
  <w15:docId w15:val="{7DFEC3E3-CC08-4DBE-9000-E29581E34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0401"/>
    <w:pPr>
      <w:jc w:val="both"/>
    </w:pPr>
    <w:rPr>
      <w:rFonts w:ascii="Open Sans" w:hAnsi="Open Sans"/>
    </w:rPr>
  </w:style>
  <w:style w:type="paragraph" w:styleId="Nadpis1">
    <w:name w:val="heading 1"/>
    <w:basedOn w:val="Normln"/>
    <w:next w:val="Normln"/>
    <w:link w:val="Nadpis1Char"/>
    <w:uiPriority w:val="9"/>
    <w:qFormat/>
    <w:rsid w:val="00C00401"/>
    <w:pPr>
      <w:outlineLvl w:val="0"/>
    </w:pPr>
    <w:rPr>
      <w:b/>
      <w:bCs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B404E"/>
  </w:style>
  <w:style w:type="paragraph" w:styleId="Zpat">
    <w:name w:val="footer"/>
    <w:basedOn w:val="Normln"/>
    <w:link w:val="ZpatChar"/>
    <w:uiPriority w:val="99"/>
    <w:unhideWhenUsed/>
    <w:rsid w:val="009B4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B404E"/>
  </w:style>
  <w:style w:type="character" w:customStyle="1" w:styleId="Nadpis1Char">
    <w:name w:val="Nadpis 1 Char"/>
    <w:basedOn w:val="Standardnpsmoodstavce"/>
    <w:link w:val="Nadpis1"/>
    <w:uiPriority w:val="9"/>
    <w:rsid w:val="00C00401"/>
    <w:rPr>
      <w:rFonts w:ascii="Open Sans" w:hAnsi="Open Sans"/>
      <w:b/>
      <w:bCs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AC7B6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C7B69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lnweb">
    <w:name w:val="Normal (Web)"/>
    <w:basedOn w:val="Normln"/>
    <w:uiPriority w:val="99"/>
    <w:semiHidden/>
    <w:unhideWhenUsed/>
    <w:rsid w:val="00C0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Perex">
    <w:name w:val="Perex"/>
    <w:basedOn w:val="Normln"/>
    <w:qFormat/>
    <w:rsid w:val="00C00401"/>
    <w:rPr>
      <w:b/>
      <w:bCs/>
    </w:rPr>
  </w:style>
  <w:style w:type="paragraph" w:customStyle="1" w:styleId="Boilerplate">
    <w:name w:val="Boiler plate"/>
    <w:basedOn w:val="Normln"/>
    <w:qFormat/>
    <w:rsid w:val="00C00401"/>
    <w:rPr>
      <w:i/>
      <w:iCs/>
      <w:sz w:val="20"/>
      <w:szCs w:val="20"/>
    </w:rPr>
  </w:style>
  <w:style w:type="paragraph" w:customStyle="1" w:styleId="Zahlavi">
    <w:name w:val="Zahlavi"/>
    <w:basedOn w:val="Zhlav"/>
    <w:qFormat/>
    <w:rsid w:val="00C00401"/>
    <w:rPr>
      <w:noProof/>
      <w:sz w:val="30"/>
      <w:szCs w:val="30"/>
    </w:rPr>
  </w:style>
  <w:style w:type="paragraph" w:customStyle="1" w:styleId="Citace">
    <w:name w:val="Citace"/>
    <w:basedOn w:val="Normln"/>
    <w:qFormat/>
    <w:rsid w:val="001E6AB9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2644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2644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26449"/>
    <w:rPr>
      <w:rFonts w:ascii="Open Sans" w:hAnsi="Open Sans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2644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26449"/>
    <w:rPr>
      <w:rFonts w:ascii="Open Sans" w:hAnsi="Open Sans"/>
      <w:b/>
      <w:bCs/>
      <w:sz w:val="20"/>
      <w:szCs w:val="20"/>
    </w:rPr>
  </w:style>
  <w:style w:type="paragraph" w:styleId="Revize">
    <w:name w:val="Revision"/>
    <w:hidden/>
    <w:uiPriority w:val="99"/>
    <w:semiHidden/>
    <w:rsid w:val="00F93579"/>
    <w:pPr>
      <w:spacing w:after="0" w:line="240" w:lineRule="auto"/>
    </w:pPr>
    <w:rPr>
      <w:rFonts w:ascii="Open Sans" w:hAnsi="Open San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4B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BB6"/>
    <w:rPr>
      <w:rFonts w:ascii="Open Sans" w:hAnsi="Open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04BB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facebook.com/fingo.cz" TargetMode="External"/><Relationship Id="rId18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www.fingo.cz/" TargetMode="External"/><Relationship Id="rId17" Type="http://schemas.openxmlformats.org/officeDocument/2006/relationships/hyperlink" Target="https://www.linkedin.com/company/fingo-cz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twitter.com/fingocz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hyperlink" Target="https://www.youtube.com/@fingocz3140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revostavitel.cz/clanek/chaty-a-chaticky-fotogaleri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svg"/><Relationship Id="rId1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\OneDrive%20-%20Crest%20Communications,%20a.s\Plocha%20(old)\FinGO_S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7" ma:contentTypeDescription="Create a new document." ma:contentTypeScope="" ma:versionID="f82e67213bc04effb8dcebe1becef06a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a9bc303426ad5e5f2a8c8ff0c688221a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E6E8602-1146-4A4E-9988-0A68C2B718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AE3A90D-D1F2-4F97-AC2C-EDB957494B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B4C34A-FBC1-4216-8229-5510B5EC59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682881-D906-41BE-9E8E-E6CECCD9DC59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FinGO_Sablona.dotx</Template>
  <TotalTime>64</TotalTime>
  <Pages>4</Pages>
  <Words>848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Jakub Knapp</cp:lastModifiedBy>
  <cp:revision>17</cp:revision>
  <dcterms:created xsi:type="dcterms:W3CDTF">2023-07-31T14:33:00Z</dcterms:created>
  <dcterms:modified xsi:type="dcterms:W3CDTF">2023-08-08T08:03:00Z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ediaServiceImageTags">
    <vt:lpwstr/>
  </property>
</Properties>
</file>